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E7DB4" w14:textId="1A99CDD2" w:rsidR="00300463" w:rsidRPr="00966917" w:rsidRDefault="00300463" w:rsidP="00300463">
      <w:pPr>
        <w:spacing w:line="360" w:lineRule="auto"/>
        <w:jc w:val="center"/>
        <w:rPr>
          <w:rFonts w:ascii="Calibri" w:hAnsi="Calibri"/>
          <w:sz w:val="32"/>
          <w:szCs w:val="32"/>
        </w:rPr>
      </w:pPr>
      <w:r w:rsidRPr="00966917">
        <w:rPr>
          <w:rFonts w:ascii="Calibri" w:hAnsi="Calibri"/>
          <w:noProof/>
          <w:sz w:val="32"/>
          <w:szCs w:val="32"/>
        </w:rPr>
        <mc:AlternateContent>
          <mc:Choice Requires="wps">
            <w:drawing>
              <wp:anchor distT="0" distB="0" distL="114300" distR="114300" simplePos="0" relativeHeight="251659264" behindDoc="0" locked="0" layoutInCell="1" allowOverlap="1" wp14:anchorId="07663E3E" wp14:editId="46EA039F">
                <wp:simplePos x="0" y="0"/>
                <wp:positionH relativeFrom="column">
                  <wp:posOffset>-90170</wp:posOffset>
                </wp:positionH>
                <wp:positionV relativeFrom="paragraph">
                  <wp:posOffset>-261620</wp:posOffset>
                </wp:positionV>
                <wp:extent cx="6229350" cy="1314450"/>
                <wp:effectExtent l="9525" t="9525" r="9525" b="9525"/>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1314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1D0CA" id="Pravokotnik 1" o:spid="_x0000_s1026" style="position:absolute;margin-left:-7.1pt;margin-top:-20.6pt;width:490.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" filled="f"/>
            </w:pict>
          </mc:Fallback>
        </mc:AlternateContent>
      </w:r>
      <w:r w:rsidRPr="00966917">
        <w:rPr>
          <w:rFonts w:ascii="Calibri" w:hAnsi="Calibri"/>
          <w:sz w:val="32"/>
          <w:szCs w:val="32"/>
        </w:rPr>
        <w:t xml:space="preserve">OOZ GROSUPLJE </w:t>
      </w:r>
      <w:r w:rsidRPr="00F324C4">
        <w:rPr>
          <w:rFonts w:ascii="Calibri" w:hAnsi="Calibri"/>
          <w:sz w:val="32"/>
          <w:szCs w:val="32"/>
        </w:rPr>
        <w:t>organizira spletn</w:t>
      </w:r>
      <w:r>
        <w:rPr>
          <w:rFonts w:ascii="Calibri" w:hAnsi="Calibri"/>
          <w:sz w:val="32"/>
          <w:szCs w:val="32"/>
        </w:rPr>
        <w:t>o</w:t>
      </w:r>
      <w:r w:rsidRPr="00F324C4">
        <w:rPr>
          <w:rFonts w:ascii="Calibri" w:hAnsi="Calibri"/>
          <w:sz w:val="32"/>
          <w:szCs w:val="32"/>
        </w:rPr>
        <w:t xml:space="preserve"> </w:t>
      </w:r>
      <w:r>
        <w:rPr>
          <w:rFonts w:ascii="Calibri" w:hAnsi="Calibri"/>
          <w:sz w:val="32"/>
          <w:szCs w:val="32"/>
        </w:rPr>
        <w:t>strokovno delavnico</w:t>
      </w:r>
      <w:r w:rsidRPr="00966917">
        <w:rPr>
          <w:rFonts w:ascii="Calibri" w:hAnsi="Calibri"/>
          <w:sz w:val="32"/>
          <w:szCs w:val="32"/>
        </w:rPr>
        <w:t xml:space="preserve"> </w:t>
      </w:r>
    </w:p>
    <w:p w14:paraId="41D95089" w14:textId="65B6D5C3" w:rsidR="00300463" w:rsidRPr="00966917" w:rsidRDefault="00300463" w:rsidP="00300463">
      <w:pPr>
        <w:spacing w:line="360" w:lineRule="auto"/>
        <w:jc w:val="center"/>
        <w:rPr>
          <w:rFonts w:ascii="Calibri" w:hAnsi="Calibri"/>
          <w:b/>
          <w:caps/>
          <w:sz w:val="32"/>
          <w:szCs w:val="32"/>
        </w:rPr>
      </w:pPr>
      <w:r w:rsidRPr="00966917">
        <w:rPr>
          <w:rFonts w:ascii="Calibri" w:hAnsi="Calibri"/>
          <w:b/>
          <w:caps/>
          <w:sz w:val="32"/>
          <w:szCs w:val="32"/>
        </w:rPr>
        <w:t>»</w:t>
      </w:r>
      <w:r>
        <w:rPr>
          <w:rFonts w:ascii="Calibri" w:hAnsi="Calibri"/>
          <w:b/>
          <w:caps/>
          <w:sz w:val="32"/>
          <w:szCs w:val="32"/>
        </w:rPr>
        <w:t>VARSTVO PRI DELU ter varstvo pred požarom</w:t>
      </w:r>
      <w:r w:rsidRPr="00966917">
        <w:rPr>
          <w:rFonts w:ascii="Calibri" w:hAnsi="Calibri"/>
          <w:b/>
          <w:caps/>
          <w:sz w:val="32"/>
          <w:szCs w:val="32"/>
        </w:rPr>
        <w:t xml:space="preserve">«, </w:t>
      </w:r>
    </w:p>
    <w:p w14:paraId="48F37235" w14:textId="5A6962F9" w:rsidR="00300463" w:rsidRPr="00966917" w:rsidRDefault="00300463" w:rsidP="00300463">
      <w:pPr>
        <w:spacing w:line="360" w:lineRule="auto"/>
        <w:jc w:val="center"/>
        <w:rPr>
          <w:rFonts w:ascii="Calibri" w:hAnsi="Calibri"/>
          <w:b/>
          <w:caps/>
          <w:sz w:val="32"/>
          <w:szCs w:val="32"/>
        </w:rPr>
      </w:pPr>
      <w:r w:rsidRPr="00966917">
        <w:rPr>
          <w:rFonts w:ascii="Calibri" w:hAnsi="Calibri"/>
          <w:sz w:val="32"/>
          <w:szCs w:val="32"/>
        </w:rPr>
        <w:t xml:space="preserve">v </w:t>
      </w:r>
      <w:r>
        <w:rPr>
          <w:rFonts w:ascii="Calibri" w:hAnsi="Calibri"/>
          <w:sz w:val="32"/>
          <w:szCs w:val="32"/>
        </w:rPr>
        <w:t>torek</w:t>
      </w:r>
      <w:r w:rsidRPr="00966917">
        <w:rPr>
          <w:rFonts w:ascii="Calibri" w:hAnsi="Calibri"/>
          <w:sz w:val="32"/>
          <w:szCs w:val="32"/>
        </w:rPr>
        <w:t xml:space="preserve">, </w:t>
      </w:r>
      <w:r>
        <w:rPr>
          <w:rFonts w:ascii="Calibri" w:hAnsi="Calibri"/>
          <w:sz w:val="32"/>
          <w:szCs w:val="32"/>
        </w:rPr>
        <w:t>27.9</w:t>
      </w:r>
      <w:r w:rsidRPr="00966917">
        <w:rPr>
          <w:rFonts w:ascii="Calibri" w:hAnsi="Calibri"/>
          <w:sz w:val="32"/>
          <w:szCs w:val="32"/>
        </w:rPr>
        <w:t>.20</w:t>
      </w:r>
      <w:r>
        <w:rPr>
          <w:rFonts w:ascii="Calibri" w:hAnsi="Calibri"/>
          <w:sz w:val="32"/>
          <w:szCs w:val="32"/>
        </w:rPr>
        <w:t>22</w:t>
      </w:r>
      <w:r w:rsidRPr="00966917">
        <w:rPr>
          <w:rFonts w:ascii="Calibri" w:hAnsi="Calibri"/>
          <w:sz w:val="32"/>
          <w:szCs w:val="32"/>
        </w:rPr>
        <w:t xml:space="preserve">, ob </w:t>
      </w:r>
      <w:r>
        <w:rPr>
          <w:rFonts w:ascii="Calibri" w:hAnsi="Calibri"/>
          <w:sz w:val="32"/>
          <w:szCs w:val="32"/>
        </w:rPr>
        <w:t>9</w:t>
      </w:r>
      <w:r w:rsidRPr="00966917">
        <w:rPr>
          <w:rFonts w:ascii="Calibri" w:hAnsi="Calibri"/>
          <w:sz w:val="32"/>
          <w:szCs w:val="32"/>
        </w:rPr>
        <w:t>.0</w:t>
      </w:r>
      <w:r>
        <w:rPr>
          <w:rFonts w:ascii="Calibri" w:hAnsi="Calibri"/>
          <w:sz w:val="32"/>
          <w:szCs w:val="32"/>
        </w:rPr>
        <w:t xml:space="preserve">0, v domu obrtnikov </w:t>
      </w:r>
    </w:p>
    <w:p w14:paraId="3E713E4F" w14:textId="00578009" w:rsidR="00300463" w:rsidRPr="00966917" w:rsidRDefault="00300463" w:rsidP="00300463">
      <w:pPr>
        <w:spacing w:line="360" w:lineRule="auto"/>
        <w:rPr>
          <w:rFonts w:ascii="Calibri" w:hAnsi="Calibri"/>
          <w:b/>
        </w:rPr>
      </w:pPr>
      <w:r w:rsidRPr="00966917">
        <w:rPr>
          <w:rFonts w:ascii="Calibri" w:hAnsi="Calibri"/>
        </w:rPr>
        <w:t xml:space="preserve">Trajanje: </w:t>
      </w:r>
      <w:r>
        <w:rPr>
          <w:rFonts w:ascii="Calibri" w:hAnsi="Calibri"/>
          <w:b/>
        </w:rPr>
        <w:t>2</w:t>
      </w:r>
      <w:r w:rsidRPr="00966917">
        <w:rPr>
          <w:rFonts w:ascii="Calibri" w:hAnsi="Calibri"/>
          <w:b/>
        </w:rPr>
        <w:t xml:space="preserve"> šolsk</w:t>
      </w:r>
      <w:r w:rsidR="00DB616E">
        <w:rPr>
          <w:rFonts w:ascii="Calibri" w:hAnsi="Calibri"/>
          <w:b/>
        </w:rPr>
        <w:t xml:space="preserve">i </w:t>
      </w:r>
      <w:r w:rsidRPr="00966917">
        <w:rPr>
          <w:rFonts w:ascii="Calibri" w:hAnsi="Calibri"/>
          <w:b/>
        </w:rPr>
        <w:t>ur</w:t>
      </w:r>
      <w:r w:rsidR="00DB616E">
        <w:rPr>
          <w:rFonts w:ascii="Calibri" w:hAnsi="Calibri"/>
          <w:b/>
        </w:rPr>
        <w:t>i</w:t>
      </w:r>
    </w:p>
    <w:p w14:paraId="19703B7C" w14:textId="2ABD690C" w:rsidR="00300463" w:rsidRPr="001E0148" w:rsidRDefault="00300463" w:rsidP="00300463">
      <w:pPr>
        <w:spacing w:line="360" w:lineRule="auto"/>
        <w:rPr>
          <w:rFonts w:ascii="Calibri" w:hAnsi="Calibri"/>
        </w:rPr>
      </w:pPr>
      <w:r w:rsidRPr="001E0148">
        <w:rPr>
          <w:rFonts w:ascii="Calibri" w:hAnsi="Calibri"/>
        </w:rPr>
        <w:t xml:space="preserve">Lokacija: </w:t>
      </w:r>
      <w:r>
        <w:rPr>
          <w:rFonts w:ascii="Calibri" w:hAnsi="Calibri"/>
          <w:b/>
        </w:rPr>
        <w:t>Dom obrtnikov</w:t>
      </w:r>
      <w:r w:rsidR="00DB616E">
        <w:rPr>
          <w:rFonts w:ascii="Calibri" w:hAnsi="Calibri"/>
          <w:b/>
        </w:rPr>
        <w:t xml:space="preserve">, </w:t>
      </w:r>
      <w:r w:rsidR="00DB616E" w:rsidRPr="00DB616E">
        <w:rPr>
          <w:rFonts w:ascii="Calibri" w:hAnsi="Calibri"/>
          <w:b/>
          <w:bCs/>
        </w:rPr>
        <w:t xml:space="preserve">Ob </w:t>
      </w:r>
      <w:proofErr w:type="spellStart"/>
      <w:r w:rsidR="00DB616E" w:rsidRPr="00DB616E">
        <w:rPr>
          <w:rFonts w:ascii="Calibri" w:hAnsi="Calibri"/>
          <w:b/>
          <w:bCs/>
        </w:rPr>
        <w:t>Grosupeljščici</w:t>
      </w:r>
      <w:proofErr w:type="spellEnd"/>
      <w:r w:rsidR="00DB616E" w:rsidRPr="00DB616E">
        <w:rPr>
          <w:rFonts w:ascii="Calibri" w:hAnsi="Calibri"/>
          <w:b/>
          <w:bCs/>
        </w:rPr>
        <w:t xml:space="preserve"> 1b, 1290 Grosuplje</w:t>
      </w:r>
    </w:p>
    <w:p w14:paraId="01A6D546" w14:textId="5045301D" w:rsidR="00300463" w:rsidRPr="003F4374" w:rsidRDefault="00300463" w:rsidP="00300463">
      <w:pPr>
        <w:spacing w:line="360" w:lineRule="exact"/>
        <w:rPr>
          <w:rFonts w:ascii="Calibri" w:hAnsi="Calibri"/>
          <w:b/>
          <w:bCs/>
        </w:rPr>
      </w:pPr>
      <w:bookmarkStart w:id="0" w:name="_Hlk79570742"/>
      <w:r w:rsidRPr="001E0148">
        <w:rPr>
          <w:rFonts w:ascii="Calibri" w:hAnsi="Calibri"/>
        </w:rPr>
        <w:t>Izvajal</w:t>
      </w:r>
      <w:r>
        <w:rPr>
          <w:rFonts w:ascii="Calibri" w:hAnsi="Calibri"/>
        </w:rPr>
        <w:t>ka</w:t>
      </w:r>
      <w:r w:rsidRPr="001E0148">
        <w:rPr>
          <w:rFonts w:ascii="Calibri" w:hAnsi="Calibri"/>
        </w:rPr>
        <w:t xml:space="preserve">: </w:t>
      </w:r>
      <w:r>
        <w:rPr>
          <w:rFonts w:ascii="Calibri" w:hAnsi="Calibri"/>
          <w:b/>
          <w:bCs/>
        </w:rPr>
        <w:t>Slavko Šteh</w:t>
      </w:r>
    </w:p>
    <w:bookmarkEnd w:id="0"/>
    <w:p w14:paraId="78508E02" w14:textId="77777777" w:rsidR="00300463" w:rsidRPr="007D3913" w:rsidRDefault="00300463" w:rsidP="00300463">
      <w:pPr>
        <w:spacing w:line="360" w:lineRule="auto"/>
        <w:jc w:val="both"/>
        <w:rPr>
          <w:rFonts w:ascii="Calibri" w:hAnsi="Calibri"/>
          <w:b/>
          <w:bCs/>
        </w:rPr>
      </w:pPr>
    </w:p>
    <w:p w14:paraId="45EC10E1" w14:textId="0E6CDBC7" w:rsidR="00300463" w:rsidRDefault="00300463" w:rsidP="00300463">
      <w:pPr>
        <w:spacing w:line="360" w:lineRule="auto"/>
        <w:jc w:val="both"/>
        <w:rPr>
          <w:rFonts w:ascii="Calibri" w:hAnsi="Calibri"/>
          <w:bCs/>
        </w:rPr>
      </w:pPr>
      <w:r>
        <w:rPr>
          <w:rFonts w:ascii="Calibri" w:hAnsi="Calibri"/>
        </w:rPr>
        <w:t xml:space="preserve">Izobraževanje organizira OOZ Grosuplje v sodelovanju s podjetjem Evakuacija d.o.o.. Udeležba </w:t>
      </w:r>
      <w:r w:rsidRPr="00F324C4">
        <w:rPr>
          <w:rFonts w:ascii="Calibri" w:hAnsi="Calibri"/>
          <w:b/>
        </w:rPr>
        <w:t xml:space="preserve">na </w:t>
      </w:r>
      <w:r>
        <w:rPr>
          <w:rFonts w:ascii="Calibri" w:hAnsi="Calibri"/>
          <w:b/>
        </w:rPr>
        <w:t>izobraževanju</w:t>
      </w:r>
      <w:r w:rsidRPr="00F324C4">
        <w:rPr>
          <w:rFonts w:ascii="Calibri" w:hAnsi="Calibri"/>
          <w:b/>
        </w:rPr>
        <w:t xml:space="preserve"> za </w:t>
      </w:r>
      <w:r>
        <w:rPr>
          <w:rFonts w:ascii="Calibri" w:hAnsi="Calibri"/>
          <w:b/>
        </w:rPr>
        <w:t xml:space="preserve">člane OOZ Grosuplje znaša 20 EUR + DDV, za ne člane pa 25EUR + DDV. </w:t>
      </w:r>
    </w:p>
    <w:p w14:paraId="0C504EB3" w14:textId="77777777" w:rsidR="00300463" w:rsidRPr="00C34B73" w:rsidRDefault="00300463" w:rsidP="00300463">
      <w:pPr>
        <w:spacing w:line="360" w:lineRule="auto"/>
        <w:jc w:val="both"/>
        <w:rPr>
          <w:rFonts w:ascii="Calibri" w:hAnsi="Calibri"/>
          <w:bCs/>
        </w:rPr>
      </w:pPr>
    </w:p>
    <w:p w14:paraId="22C36A1C" w14:textId="3DCA8A31" w:rsidR="00300463" w:rsidRDefault="00300463" w:rsidP="00300463">
      <w:pPr>
        <w:spacing w:line="360" w:lineRule="auto"/>
        <w:jc w:val="both"/>
        <w:rPr>
          <w:rFonts w:ascii="Calibri" w:hAnsi="Calibri"/>
        </w:rPr>
      </w:pPr>
      <w:r w:rsidRPr="00966917">
        <w:rPr>
          <w:rFonts w:ascii="Calibri" w:hAnsi="Calibri"/>
          <w:b/>
        </w:rPr>
        <w:t>Vašo izpolnjeno prijavnico,</w:t>
      </w:r>
      <w:r w:rsidRPr="00966917">
        <w:rPr>
          <w:rFonts w:ascii="Calibri" w:hAnsi="Calibri"/>
        </w:rPr>
        <w:t xml:space="preserve"> ki jo najdete v nadaljevanju, pošljite </w:t>
      </w:r>
      <w:r w:rsidRPr="00966917">
        <w:rPr>
          <w:rFonts w:ascii="Calibri" w:hAnsi="Calibri"/>
          <w:b/>
        </w:rPr>
        <w:t xml:space="preserve">najkasneje do </w:t>
      </w:r>
      <w:r>
        <w:rPr>
          <w:rFonts w:ascii="Calibri" w:hAnsi="Calibri"/>
          <w:b/>
        </w:rPr>
        <w:t>22.09</w:t>
      </w:r>
      <w:r w:rsidRPr="00966917">
        <w:rPr>
          <w:rFonts w:ascii="Calibri" w:hAnsi="Calibri"/>
          <w:b/>
        </w:rPr>
        <w:t>.20</w:t>
      </w:r>
      <w:r>
        <w:rPr>
          <w:rFonts w:ascii="Calibri" w:hAnsi="Calibri"/>
          <w:b/>
        </w:rPr>
        <w:t>22</w:t>
      </w:r>
      <w:r w:rsidRPr="00966917">
        <w:rPr>
          <w:rFonts w:ascii="Calibri" w:hAnsi="Calibri"/>
        </w:rPr>
        <w:t xml:space="preserve"> na OOZ Grosuplje, Ob </w:t>
      </w:r>
      <w:proofErr w:type="spellStart"/>
      <w:r w:rsidRPr="00966917">
        <w:rPr>
          <w:rFonts w:ascii="Calibri" w:hAnsi="Calibri"/>
        </w:rPr>
        <w:t>Grosupeljščici</w:t>
      </w:r>
      <w:proofErr w:type="spellEnd"/>
      <w:r w:rsidRPr="00966917">
        <w:rPr>
          <w:rFonts w:ascii="Calibri" w:hAnsi="Calibri"/>
        </w:rPr>
        <w:t xml:space="preserve"> 1b, 1290 Grosuplje ali po e-pošti na </w:t>
      </w:r>
      <w:hyperlink r:id="rId5" w:history="1">
        <w:r w:rsidRPr="00966917">
          <w:rPr>
            <w:rStyle w:val="Hiperpovezava"/>
            <w:rFonts w:ascii="Calibri" w:hAnsi="Calibri"/>
          </w:rPr>
          <w:t>ooz.grosuplje@ozs.si</w:t>
        </w:r>
      </w:hyperlink>
      <w:r w:rsidRPr="00966917">
        <w:rPr>
          <w:rFonts w:ascii="Calibri" w:hAnsi="Calibri"/>
        </w:rPr>
        <w:t>. Za dodatne informacije pokličite 01 786 51 30 (</w:t>
      </w:r>
      <w:r>
        <w:rPr>
          <w:rFonts w:ascii="Calibri" w:hAnsi="Calibri"/>
        </w:rPr>
        <w:t>Vera Brezovar</w:t>
      </w:r>
      <w:r w:rsidRPr="00966917">
        <w:rPr>
          <w:rFonts w:ascii="Calibri" w:hAnsi="Calibri"/>
        </w:rPr>
        <w:t xml:space="preserve">) oz. pišite na </w:t>
      </w:r>
      <w:hyperlink r:id="rId6" w:history="1">
        <w:r w:rsidRPr="00966917">
          <w:rPr>
            <w:rStyle w:val="Hiperpovezava"/>
            <w:rFonts w:ascii="Calibri" w:hAnsi="Calibri"/>
          </w:rPr>
          <w:t>ooz.grosuplje@ozs.si</w:t>
        </w:r>
      </w:hyperlink>
      <w:r w:rsidRPr="00966917">
        <w:rPr>
          <w:rFonts w:ascii="Calibri" w:hAnsi="Calibri"/>
        </w:rPr>
        <w:t xml:space="preserve">. </w:t>
      </w:r>
    </w:p>
    <w:p w14:paraId="7D1731A0" w14:textId="77777777" w:rsidR="00300463" w:rsidRDefault="00300463" w:rsidP="00300463">
      <w:pPr>
        <w:spacing w:line="360" w:lineRule="auto"/>
        <w:jc w:val="both"/>
        <w:rPr>
          <w:rFonts w:ascii="Calibri" w:hAnsi="Calibri"/>
        </w:rPr>
      </w:pPr>
    </w:p>
    <w:p w14:paraId="7DD7D077" w14:textId="77777777" w:rsidR="00300463" w:rsidRPr="00D36B72" w:rsidRDefault="00300463" w:rsidP="00300463">
      <w:pPr>
        <w:spacing w:line="360" w:lineRule="auto"/>
        <w:jc w:val="both"/>
        <w:rPr>
          <w:rFonts w:ascii="Calibri" w:hAnsi="Calibri"/>
          <w:b/>
        </w:rPr>
      </w:pPr>
      <w:r>
        <w:rPr>
          <w:rFonts w:ascii="Calibri" w:hAnsi="Calibri"/>
          <w:b/>
        </w:rPr>
        <w:t>VSEBINA SEMINARJA</w:t>
      </w:r>
      <w:r w:rsidRPr="00D36B72">
        <w:rPr>
          <w:rFonts w:ascii="Calibri" w:hAnsi="Calibri"/>
          <w:b/>
        </w:rPr>
        <w:t>:</w:t>
      </w:r>
    </w:p>
    <w:p w14:paraId="6064A919" w14:textId="3D0FB20F" w:rsidR="00300463" w:rsidRDefault="00300463" w:rsidP="00300463">
      <w:pPr>
        <w:spacing w:line="360" w:lineRule="auto"/>
        <w:rPr>
          <w:rFonts w:ascii="Calibri" w:hAnsi="Calibri"/>
        </w:rPr>
      </w:pPr>
      <w:r w:rsidRPr="00300463">
        <w:rPr>
          <w:rFonts w:ascii="Calibri" w:hAnsi="Calibri"/>
        </w:rPr>
        <w:t xml:space="preserve">Usposabljanje je sestavljeno iz 2 delov: </w:t>
      </w:r>
      <w:r w:rsidRPr="00300463">
        <w:rPr>
          <w:rFonts w:ascii="Calibri" w:hAnsi="Calibri"/>
          <w:u w:val="single"/>
        </w:rPr>
        <w:t>varnost in zdravje pri delu ter varstvo pred požarom</w:t>
      </w:r>
      <w:r w:rsidRPr="00300463">
        <w:rPr>
          <w:rFonts w:ascii="Calibri" w:hAnsi="Calibri"/>
        </w:rPr>
        <w:t xml:space="preserve">. Zajema povzetek zakonodaje, nevarnosti za poškodbe na delovnem mestu, uporaba osebne varovalne opreme, seznanitev z izjavo o varnosti z oceno tveganja, kako obvladovati tveganja na delovnem mestu ter iz dolgoletnih izkušenj tudi obravnavanje različnih vrst poškodb, ki so bile na delovnih mestih. V drugem delu pa se predstavi pogoje za gorenje, vzroke požarov, ukrepi za varstvo pred požarom, ukrepanje v primeru požara, konkretni posnetki požarov in slike posledic požara iz neposredne okolice. Z praktičnim delom se tudi pogleda različne sisteme aktivne požarne zaščite ter prikaz uporabe gasilnika. </w:t>
      </w:r>
    </w:p>
    <w:p w14:paraId="1E2EC863" w14:textId="77777777" w:rsidR="00300463" w:rsidRDefault="00300463">
      <w:pPr>
        <w:spacing w:after="160" w:line="259" w:lineRule="auto"/>
        <w:rPr>
          <w:rFonts w:ascii="Calibri" w:hAnsi="Calibri"/>
        </w:rPr>
      </w:pPr>
      <w:r>
        <w:rPr>
          <w:rFonts w:ascii="Calibri" w:hAnsi="Calibri"/>
        </w:rPr>
        <w:br w:type="page"/>
      </w:r>
    </w:p>
    <w:p w14:paraId="1DB4FE47" w14:textId="77777777" w:rsidR="00300463" w:rsidRPr="00300463" w:rsidRDefault="00300463" w:rsidP="00300463">
      <w:pPr>
        <w:spacing w:line="360" w:lineRule="auto"/>
        <w:jc w:val="both"/>
        <w:rPr>
          <w:rFonts w:ascii="Calibri" w:hAnsi="Calibri"/>
        </w:rPr>
      </w:pPr>
      <w:r w:rsidRPr="00300463">
        <w:rPr>
          <w:rFonts w:ascii="Calibri" w:hAnsi="Calibri"/>
        </w:rPr>
        <w:lastRenderedPageBreak/>
        <w:t>Vsi delavci morajo biti usposobljeni za varno delo na področju varnosti in zdravja pri delu ter varstva pred požarom.  Usposabljanje mora zajemati teoretični in praktični del usposabljanja za varno opravljanje dela, delavec mora biti seznanjen s pravicami in obveznostmi ter z vsemi nevarnostmi in tveganji na delovnem mestu.</w:t>
      </w:r>
    </w:p>
    <w:p w14:paraId="438BBB17" w14:textId="77777777" w:rsidR="00300463" w:rsidRPr="00300463" w:rsidRDefault="00300463" w:rsidP="00300463">
      <w:pPr>
        <w:spacing w:line="360" w:lineRule="auto"/>
        <w:jc w:val="both"/>
        <w:rPr>
          <w:rFonts w:ascii="Calibri" w:hAnsi="Calibri"/>
        </w:rPr>
      </w:pPr>
      <w:r w:rsidRPr="00300463">
        <w:rPr>
          <w:rFonts w:ascii="Calibri" w:hAnsi="Calibri"/>
        </w:rPr>
        <w:t>Vsak delodajalec mora sprejeti izjavo o varnosti z oceno tveganja, kjer mora oceniti tveganja za vsa delovna mesta, ki jih zaposluje ter predvideti ukrepe za zmanjšanje tveganja in nevarnosti na delovnem mestu ter predpisati ustrezno osebno varovalno opremo ter poučiti delavce o pravilni uporabi le te.</w:t>
      </w:r>
    </w:p>
    <w:p w14:paraId="62953E44" w14:textId="77777777" w:rsidR="00300463" w:rsidRPr="00300463" w:rsidRDefault="00300463" w:rsidP="00300463">
      <w:pPr>
        <w:spacing w:line="360" w:lineRule="auto"/>
        <w:ind w:right="23"/>
        <w:jc w:val="both"/>
        <w:rPr>
          <w:rFonts w:ascii="Calibri" w:hAnsi="Calibri"/>
        </w:rPr>
      </w:pPr>
      <w:r w:rsidRPr="00300463">
        <w:rPr>
          <w:rFonts w:ascii="Calibri" w:hAnsi="Calibri"/>
        </w:rPr>
        <w:t>Delavci morajo biti seznanjeni z izjavo o varnosti z oceno tveganja, prav tako pa morajo biti seznanjeni s sprejetim požarnim redom in ukrepi varstva pred požarom ter ukrepanjem v primeru požara.</w:t>
      </w:r>
    </w:p>
    <w:p w14:paraId="12829989" w14:textId="77777777" w:rsidR="00300463" w:rsidRPr="00300463" w:rsidRDefault="00300463" w:rsidP="00300463">
      <w:pPr>
        <w:spacing w:line="360" w:lineRule="auto"/>
        <w:ind w:right="23"/>
        <w:jc w:val="both"/>
        <w:rPr>
          <w:rFonts w:ascii="Calibri" w:hAnsi="Calibri"/>
        </w:rPr>
      </w:pPr>
    </w:p>
    <w:p w14:paraId="3748E6A6" w14:textId="77777777" w:rsidR="00300463" w:rsidRPr="00300463" w:rsidRDefault="00300463" w:rsidP="00300463">
      <w:pPr>
        <w:spacing w:line="360" w:lineRule="auto"/>
        <w:ind w:right="23"/>
        <w:jc w:val="both"/>
        <w:rPr>
          <w:rFonts w:ascii="Calibri" w:hAnsi="Calibri"/>
        </w:rPr>
      </w:pPr>
      <w:r w:rsidRPr="00300463">
        <w:rPr>
          <w:rFonts w:ascii="Calibri" w:hAnsi="Calibri"/>
        </w:rPr>
        <w:t>Delodajalec mora v skladu z 9. členom Zakona o varnosti in zdravju pri delu (ZVZD-1 , Uradni list RS št.: 43/2011) upoštevati naslednja temeljna načela:</w:t>
      </w:r>
    </w:p>
    <w:p w14:paraId="02C54BE5" w14:textId="28F97F24" w:rsidR="00300463" w:rsidRPr="00300463" w:rsidRDefault="00300463" w:rsidP="00300463">
      <w:pPr>
        <w:pStyle w:val="alineazaodstavkom"/>
        <w:numPr>
          <w:ilvl w:val="0"/>
          <w:numId w:val="3"/>
        </w:numPr>
        <w:shd w:val="clear" w:color="auto" w:fill="FFFFFF"/>
        <w:spacing w:before="0" w:beforeAutospacing="0" w:after="0" w:afterAutospacing="0" w:line="360" w:lineRule="auto"/>
        <w:jc w:val="both"/>
        <w:rPr>
          <w:rFonts w:eastAsia="Times New Roman" w:cs="Times New Roman"/>
          <w:sz w:val="24"/>
          <w:szCs w:val="24"/>
        </w:rPr>
      </w:pPr>
      <w:r w:rsidRPr="00300463">
        <w:rPr>
          <w:rFonts w:eastAsia="Times New Roman" w:cs="Times New Roman"/>
          <w:sz w:val="24"/>
          <w:szCs w:val="24"/>
        </w:rPr>
        <w:t>izogibanje nevarnostim;</w:t>
      </w:r>
    </w:p>
    <w:p w14:paraId="65FD3EA5" w14:textId="409835F2" w:rsidR="00300463" w:rsidRPr="00300463" w:rsidRDefault="00300463" w:rsidP="00300463">
      <w:pPr>
        <w:pStyle w:val="alineazaodstavkom"/>
        <w:numPr>
          <w:ilvl w:val="0"/>
          <w:numId w:val="3"/>
        </w:numPr>
        <w:shd w:val="clear" w:color="auto" w:fill="FFFFFF"/>
        <w:spacing w:before="0" w:beforeAutospacing="0" w:after="0" w:afterAutospacing="0" w:line="360" w:lineRule="auto"/>
        <w:jc w:val="both"/>
        <w:rPr>
          <w:rFonts w:eastAsia="Times New Roman" w:cs="Times New Roman"/>
          <w:sz w:val="24"/>
          <w:szCs w:val="24"/>
        </w:rPr>
      </w:pPr>
      <w:r w:rsidRPr="00300463">
        <w:rPr>
          <w:rFonts w:eastAsia="Times New Roman" w:cs="Times New Roman"/>
          <w:sz w:val="24"/>
          <w:szCs w:val="24"/>
        </w:rPr>
        <w:t>ocenjevanje tveganj;</w:t>
      </w:r>
    </w:p>
    <w:p w14:paraId="3F593176" w14:textId="2A5A608E" w:rsidR="00300463" w:rsidRPr="00300463" w:rsidRDefault="00300463" w:rsidP="00300463">
      <w:pPr>
        <w:pStyle w:val="alineazaodstavkom"/>
        <w:numPr>
          <w:ilvl w:val="0"/>
          <w:numId w:val="3"/>
        </w:numPr>
        <w:shd w:val="clear" w:color="auto" w:fill="FFFFFF"/>
        <w:spacing w:before="0" w:beforeAutospacing="0" w:after="0" w:afterAutospacing="0" w:line="360" w:lineRule="auto"/>
        <w:jc w:val="both"/>
        <w:rPr>
          <w:rFonts w:eastAsia="Times New Roman" w:cs="Times New Roman"/>
          <w:sz w:val="24"/>
          <w:szCs w:val="24"/>
        </w:rPr>
      </w:pPr>
      <w:r w:rsidRPr="00300463">
        <w:rPr>
          <w:rFonts w:eastAsia="Times New Roman" w:cs="Times New Roman"/>
          <w:sz w:val="24"/>
          <w:szCs w:val="24"/>
        </w:rPr>
        <w:t>obvladovanje nevarnosti pri viru;</w:t>
      </w:r>
    </w:p>
    <w:p w14:paraId="5BCB4D76" w14:textId="6836E0AE" w:rsidR="00300463" w:rsidRPr="00300463" w:rsidRDefault="00300463" w:rsidP="00300463">
      <w:pPr>
        <w:pStyle w:val="alineazaodstavkom"/>
        <w:numPr>
          <w:ilvl w:val="0"/>
          <w:numId w:val="3"/>
        </w:numPr>
        <w:shd w:val="clear" w:color="auto" w:fill="FFFFFF"/>
        <w:spacing w:before="0" w:beforeAutospacing="0" w:after="0" w:afterAutospacing="0" w:line="360" w:lineRule="auto"/>
        <w:jc w:val="both"/>
        <w:rPr>
          <w:rFonts w:eastAsia="Times New Roman" w:cs="Times New Roman"/>
          <w:sz w:val="24"/>
          <w:szCs w:val="24"/>
        </w:rPr>
      </w:pPr>
      <w:r w:rsidRPr="00300463">
        <w:rPr>
          <w:rFonts w:eastAsia="Times New Roman" w:cs="Times New Roman"/>
          <w:sz w:val="24"/>
          <w:szCs w:val="24"/>
        </w:rPr>
        <w:t>prilagajanje dela posamezniku z ustreznim oblikovanjem delovnega mesta in delovnega okolja, delovnih prostorov, delovnih in tehnoloških postopkov, izbiro delovne in osebne varovalne opreme ter delovnih in proizvajalnih metod, še zlasti pa tako, da odpravlja monotono delo ter pogoje z vsiljenim ritmom dela in ostale zdravju škodljive okoliščine (humanizacija dela);</w:t>
      </w:r>
    </w:p>
    <w:p w14:paraId="2167A0A7" w14:textId="1C565CCA" w:rsidR="00300463" w:rsidRPr="00300463" w:rsidRDefault="00300463" w:rsidP="00300463">
      <w:pPr>
        <w:pStyle w:val="alineazaodstavkom"/>
        <w:numPr>
          <w:ilvl w:val="0"/>
          <w:numId w:val="3"/>
        </w:numPr>
        <w:shd w:val="clear" w:color="auto" w:fill="FFFFFF"/>
        <w:spacing w:before="0" w:beforeAutospacing="0" w:after="0" w:afterAutospacing="0" w:line="360" w:lineRule="auto"/>
        <w:jc w:val="both"/>
        <w:rPr>
          <w:rFonts w:eastAsia="Times New Roman" w:cs="Times New Roman"/>
          <w:sz w:val="24"/>
          <w:szCs w:val="24"/>
        </w:rPr>
      </w:pPr>
      <w:r w:rsidRPr="00300463">
        <w:rPr>
          <w:rFonts w:eastAsia="Times New Roman" w:cs="Times New Roman"/>
          <w:sz w:val="24"/>
          <w:szCs w:val="24"/>
        </w:rPr>
        <w:t>prilagajanje tehničnemu napredku;</w:t>
      </w:r>
    </w:p>
    <w:p w14:paraId="1F8AF904" w14:textId="3832623D" w:rsidR="00300463" w:rsidRPr="00300463" w:rsidRDefault="00300463" w:rsidP="00300463">
      <w:pPr>
        <w:pStyle w:val="alineazaodstavkom"/>
        <w:numPr>
          <w:ilvl w:val="0"/>
          <w:numId w:val="3"/>
        </w:numPr>
        <w:shd w:val="clear" w:color="auto" w:fill="FFFFFF"/>
        <w:spacing w:before="0" w:beforeAutospacing="0" w:after="0" w:afterAutospacing="0" w:line="360" w:lineRule="auto"/>
        <w:jc w:val="both"/>
        <w:rPr>
          <w:rFonts w:eastAsia="Times New Roman" w:cs="Times New Roman"/>
          <w:sz w:val="24"/>
          <w:szCs w:val="24"/>
        </w:rPr>
      </w:pPr>
      <w:r w:rsidRPr="00300463">
        <w:rPr>
          <w:rFonts w:eastAsia="Times New Roman" w:cs="Times New Roman"/>
          <w:sz w:val="24"/>
          <w:szCs w:val="24"/>
        </w:rPr>
        <w:t>nadomeščanje nevarnega z nenevarnim ali manj nevarnim;</w:t>
      </w:r>
    </w:p>
    <w:p w14:paraId="317FD9D5" w14:textId="7FEF821E" w:rsidR="00300463" w:rsidRPr="00300463" w:rsidRDefault="00300463" w:rsidP="00300463">
      <w:pPr>
        <w:pStyle w:val="alineazaodstavkom"/>
        <w:numPr>
          <w:ilvl w:val="0"/>
          <w:numId w:val="3"/>
        </w:numPr>
        <w:shd w:val="clear" w:color="auto" w:fill="FFFFFF"/>
        <w:spacing w:before="0" w:beforeAutospacing="0" w:after="0" w:afterAutospacing="0" w:line="360" w:lineRule="auto"/>
        <w:jc w:val="both"/>
        <w:rPr>
          <w:rFonts w:eastAsia="Times New Roman" w:cs="Times New Roman"/>
          <w:sz w:val="24"/>
          <w:szCs w:val="24"/>
        </w:rPr>
      </w:pPr>
      <w:r w:rsidRPr="00300463">
        <w:rPr>
          <w:rFonts w:eastAsia="Times New Roman" w:cs="Times New Roman"/>
          <w:sz w:val="24"/>
          <w:szCs w:val="24"/>
        </w:rPr>
        <w:t>razvijanje celovite varnostne politike, ki vključuje tehnologijo, organizacijo dela, delovne pogoje, medčloveške odnose ter dejavnike delovnega okolja;</w:t>
      </w:r>
    </w:p>
    <w:p w14:paraId="10D48FE2" w14:textId="225FAF70" w:rsidR="00300463" w:rsidRPr="00300463" w:rsidRDefault="00300463" w:rsidP="00300463">
      <w:pPr>
        <w:pStyle w:val="alineazaodstavkom"/>
        <w:numPr>
          <w:ilvl w:val="0"/>
          <w:numId w:val="3"/>
        </w:numPr>
        <w:shd w:val="clear" w:color="auto" w:fill="FFFFFF"/>
        <w:spacing w:before="0" w:beforeAutospacing="0" w:after="0" w:afterAutospacing="0" w:line="360" w:lineRule="auto"/>
        <w:jc w:val="both"/>
        <w:rPr>
          <w:rFonts w:eastAsia="Times New Roman" w:cs="Times New Roman"/>
          <w:sz w:val="24"/>
          <w:szCs w:val="24"/>
        </w:rPr>
      </w:pPr>
      <w:r w:rsidRPr="00300463">
        <w:rPr>
          <w:rFonts w:eastAsia="Times New Roman" w:cs="Times New Roman"/>
          <w:sz w:val="24"/>
          <w:szCs w:val="24"/>
        </w:rPr>
        <w:t>dajanje prednosti kolektivnim varnostnim ukrepom pred individualnimi;</w:t>
      </w:r>
    </w:p>
    <w:p w14:paraId="45A079DD" w14:textId="4BDA1CF3" w:rsidR="00300463" w:rsidRPr="00300463" w:rsidRDefault="00300463" w:rsidP="00300463">
      <w:pPr>
        <w:pStyle w:val="alineazaodstavkom"/>
        <w:numPr>
          <w:ilvl w:val="0"/>
          <w:numId w:val="3"/>
        </w:numPr>
        <w:shd w:val="clear" w:color="auto" w:fill="FFFFFF"/>
        <w:spacing w:before="0" w:beforeAutospacing="0" w:after="0" w:afterAutospacing="0" w:line="360" w:lineRule="auto"/>
        <w:jc w:val="both"/>
        <w:rPr>
          <w:rFonts w:eastAsia="Times New Roman" w:cs="Times New Roman"/>
          <w:sz w:val="24"/>
          <w:szCs w:val="24"/>
        </w:rPr>
      </w:pPr>
      <w:r w:rsidRPr="00300463">
        <w:rPr>
          <w:rFonts w:eastAsia="Times New Roman" w:cs="Times New Roman"/>
          <w:sz w:val="24"/>
          <w:szCs w:val="24"/>
        </w:rPr>
        <w:t>dajanje ustreznih navodil in obvestil delavcem.</w:t>
      </w:r>
    </w:p>
    <w:p w14:paraId="6329F017" w14:textId="77777777" w:rsidR="00300463" w:rsidRDefault="00300463" w:rsidP="00300463">
      <w:pPr>
        <w:spacing w:line="360" w:lineRule="auto"/>
        <w:ind w:right="23"/>
        <w:jc w:val="both"/>
        <w:rPr>
          <w:rFonts w:ascii="Calibri" w:hAnsi="Calibri"/>
        </w:rPr>
      </w:pPr>
    </w:p>
    <w:p w14:paraId="423F23F8" w14:textId="77777777" w:rsidR="00300463" w:rsidRDefault="00300463" w:rsidP="00300463">
      <w:pPr>
        <w:spacing w:line="360" w:lineRule="auto"/>
        <w:ind w:right="23"/>
        <w:jc w:val="both"/>
        <w:rPr>
          <w:rFonts w:ascii="Calibri" w:hAnsi="Calibri"/>
        </w:rPr>
      </w:pPr>
    </w:p>
    <w:p w14:paraId="23D0102D" w14:textId="77777777" w:rsidR="00300463" w:rsidRDefault="00300463" w:rsidP="00300463">
      <w:pPr>
        <w:spacing w:line="360" w:lineRule="auto"/>
        <w:ind w:right="23"/>
        <w:jc w:val="both"/>
        <w:rPr>
          <w:rFonts w:ascii="Calibri" w:hAnsi="Calibri"/>
        </w:rPr>
      </w:pPr>
    </w:p>
    <w:p w14:paraId="7E0C8EDF" w14:textId="77777777" w:rsidR="00300463" w:rsidRDefault="00300463" w:rsidP="00300463">
      <w:pPr>
        <w:spacing w:line="360" w:lineRule="auto"/>
        <w:ind w:right="23"/>
        <w:jc w:val="both"/>
        <w:rPr>
          <w:rFonts w:ascii="Calibri" w:hAnsi="Calibri"/>
        </w:rPr>
      </w:pPr>
    </w:p>
    <w:p w14:paraId="37D4C2B7" w14:textId="000940EE" w:rsidR="00300463" w:rsidRPr="00300463" w:rsidRDefault="00300463" w:rsidP="00300463">
      <w:pPr>
        <w:spacing w:line="360" w:lineRule="auto"/>
        <w:ind w:right="23"/>
        <w:jc w:val="both"/>
        <w:rPr>
          <w:rFonts w:ascii="Calibri" w:hAnsi="Calibri"/>
        </w:rPr>
      </w:pPr>
      <w:r w:rsidRPr="00300463">
        <w:rPr>
          <w:rFonts w:ascii="Calibri" w:hAnsi="Calibri"/>
        </w:rPr>
        <w:lastRenderedPageBreak/>
        <w:t>38. člen ZVZD-1 govori o usposabljanju delavcev:</w:t>
      </w:r>
    </w:p>
    <w:p w14:paraId="783EA57E" w14:textId="77777777" w:rsidR="00300463" w:rsidRPr="00300463" w:rsidRDefault="00300463" w:rsidP="00300463">
      <w:pPr>
        <w:pStyle w:val="odstavek"/>
        <w:shd w:val="clear" w:color="auto" w:fill="FFFFFF"/>
        <w:spacing w:before="240" w:beforeAutospacing="0" w:after="0" w:afterAutospacing="0" w:line="360" w:lineRule="auto"/>
        <w:jc w:val="both"/>
        <w:rPr>
          <w:rFonts w:eastAsia="Times New Roman" w:cs="Times New Roman"/>
          <w:sz w:val="24"/>
          <w:szCs w:val="24"/>
        </w:rPr>
      </w:pPr>
      <w:r w:rsidRPr="00300463">
        <w:rPr>
          <w:rFonts w:eastAsia="Times New Roman" w:cs="Times New Roman"/>
          <w:sz w:val="24"/>
          <w:szCs w:val="24"/>
        </w:rPr>
        <w:t>Delodajalec mora delavca usposobiti za varno opravljanje dela ob sklenitvi delovnega razmerja, pred razporeditvijo na drugo delo, pred uvajanjem nove tehnologije in novih sredstev za delo ter ob spremembi v delovnem procesu, ki lahko povzroči spremembo varnosti pri delu.</w:t>
      </w:r>
    </w:p>
    <w:p w14:paraId="165FC9C3" w14:textId="77777777" w:rsidR="00300463" w:rsidRPr="00300463" w:rsidRDefault="00300463" w:rsidP="00300463">
      <w:pPr>
        <w:pStyle w:val="odstavek"/>
        <w:shd w:val="clear" w:color="auto" w:fill="FFFFFF"/>
        <w:spacing w:before="240" w:beforeAutospacing="0" w:after="0" w:afterAutospacing="0" w:line="360" w:lineRule="auto"/>
        <w:jc w:val="both"/>
        <w:rPr>
          <w:rFonts w:eastAsia="Times New Roman" w:cs="Times New Roman"/>
          <w:sz w:val="24"/>
          <w:szCs w:val="24"/>
        </w:rPr>
      </w:pPr>
      <w:r w:rsidRPr="00300463">
        <w:rPr>
          <w:rFonts w:eastAsia="Times New Roman" w:cs="Times New Roman"/>
          <w:sz w:val="24"/>
          <w:szCs w:val="24"/>
        </w:rPr>
        <w:t>Usposabljanje mora biti prilagojeno posebnostim delovnega mesta in se izvaja po programu, ki ga mora delodajalec po potrebi obnavljati in katerega vsebino mora spreminjati glede na nove oblike in vrste nevarnosti.</w:t>
      </w:r>
    </w:p>
    <w:p w14:paraId="73CC0265" w14:textId="77777777" w:rsidR="00300463" w:rsidRPr="00300463" w:rsidRDefault="00300463" w:rsidP="00300463">
      <w:pPr>
        <w:pStyle w:val="odstavek"/>
        <w:shd w:val="clear" w:color="auto" w:fill="FFFFFF"/>
        <w:spacing w:before="240" w:beforeAutospacing="0" w:after="0" w:afterAutospacing="0" w:line="360" w:lineRule="auto"/>
        <w:jc w:val="both"/>
        <w:rPr>
          <w:rFonts w:eastAsia="Times New Roman" w:cs="Times New Roman"/>
          <w:sz w:val="24"/>
          <w:szCs w:val="24"/>
        </w:rPr>
      </w:pPr>
      <w:r w:rsidRPr="00300463">
        <w:rPr>
          <w:rFonts w:eastAsia="Times New Roman" w:cs="Times New Roman"/>
          <w:sz w:val="24"/>
          <w:szCs w:val="24"/>
        </w:rPr>
        <w:t>Usposobljenost za varno delo preverja delodajalec na delovnem mestu.</w:t>
      </w:r>
    </w:p>
    <w:p w14:paraId="7484E49C" w14:textId="77777777" w:rsidR="00300463" w:rsidRPr="00300463" w:rsidRDefault="00300463" w:rsidP="00300463">
      <w:pPr>
        <w:pStyle w:val="odstavek"/>
        <w:shd w:val="clear" w:color="auto" w:fill="FFFFFF"/>
        <w:spacing w:before="240" w:beforeAutospacing="0" w:after="0" w:afterAutospacing="0" w:line="360" w:lineRule="auto"/>
        <w:jc w:val="both"/>
        <w:rPr>
          <w:rFonts w:eastAsia="Times New Roman" w:cs="Times New Roman"/>
          <w:sz w:val="24"/>
          <w:szCs w:val="24"/>
        </w:rPr>
      </w:pPr>
      <w:r w:rsidRPr="00300463">
        <w:rPr>
          <w:rFonts w:eastAsia="Times New Roman" w:cs="Times New Roman"/>
          <w:sz w:val="24"/>
          <w:szCs w:val="24"/>
        </w:rPr>
        <w:t>Delodajalec določi obvezne občasne preizkuse teoretične in praktične usposobljenosti za varno delo za delavce, ki delajo na delovnem mestu, na katerem iz ocene tveganja izhaja večja nevarnost za nezgode in poklicne bolezni ter za delavce, ki delajo na delovnih mestih, na katerih so nezgode pri delu in poklicne bolezni pogostejše.</w:t>
      </w:r>
    </w:p>
    <w:p w14:paraId="294321B2" w14:textId="77777777" w:rsidR="00300463" w:rsidRPr="00300463" w:rsidRDefault="00300463" w:rsidP="00300463">
      <w:pPr>
        <w:pStyle w:val="odstavek"/>
        <w:shd w:val="clear" w:color="auto" w:fill="FFFFFF"/>
        <w:spacing w:before="240" w:beforeAutospacing="0" w:after="0" w:afterAutospacing="0" w:line="360" w:lineRule="auto"/>
        <w:jc w:val="both"/>
        <w:rPr>
          <w:rFonts w:eastAsia="Times New Roman" w:cs="Times New Roman"/>
          <w:sz w:val="24"/>
          <w:szCs w:val="24"/>
        </w:rPr>
      </w:pPr>
      <w:r w:rsidRPr="00300463">
        <w:rPr>
          <w:rFonts w:eastAsia="Times New Roman" w:cs="Times New Roman"/>
          <w:sz w:val="24"/>
          <w:szCs w:val="24"/>
        </w:rPr>
        <w:t xml:space="preserve">Rok za občasne preizkuse za delovna mesta, kjer obstaja večja nevarnost za nezgode in poklicne bolezni, ne sme biti daljši od dveh let. </w:t>
      </w:r>
      <w:proofErr w:type="spellStart"/>
      <w:r w:rsidRPr="00300463">
        <w:rPr>
          <w:rFonts w:eastAsia="Times New Roman" w:cs="Times New Roman"/>
          <w:sz w:val="24"/>
          <w:szCs w:val="24"/>
        </w:rPr>
        <w:t>Pewriode</w:t>
      </w:r>
      <w:proofErr w:type="spellEnd"/>
      <w:r w:rsidRPr="00300463">
        <w:rPr>
          <w:rFonts w:eastAsia="Times New Roman" w:cs="Times New Roman"/>
          <w:sz w:val="24"/>
          <w:szCs w:val="24"/>
        </w:rPr>
        <w:t xml:space="preserve"> usposabljanj pa so določene v izjavi o varnosti z oceno tveganja.</w:t>
      </w:r>
    </w:p>
    <w:p w14:paraId="665B6C9C" w14:textId="42D20BDB" w:rsidR="00300463" w:rsidRPr="00300463" w:rsidRDefault="00300463" w:rsidP="00300463">
      <w:pPr>
        <w:pStyle w:val="odstavek"/>
        <w:shd w:val="clear" w:color="auto" w:fill="FFFFFF"/>
        <w:spacing w:before="240" w:beforeAutospacing="0" w:after="0" w:afterAutospacing="0" w:line="360" w:lineRule="auto"/>
        <w:jc w:val="both"/>
        <w:rPr>
          <w:rFonts w:eastAsia="Times New Roman" w:cs="Times New Roman"/>
          <w:sz w:val="24"/>
          <w:szCs w:val="24"/>
        </w:rPr>
      </w:pPr>
      <w:r w:rsidRPr="00300463">
        <w:rPr>
          <w:rFonts w:eastAsia="Times New Roman" w:cs="Times New Roman"/>
          <w:sz w:val="24"/>
          <w:szCs w:val="24"/>
        </w:rPr>
        <w:t>Delodajalec mora zagotoviti usposabljanje delavcev v njihovem delovnem času in zanje brezplačno.</w:t>
      </w:r>
    </w:p>
    <w:p w14:paraId="5C6279F5" w14:textId="77777777" w:rsidR="00300463" w:rsidRPr="00300463" w:rsidRDefault="00300463" w:rsidP="00300463">
      <w:pPr>
        <w:spacing w:line="360" w:lineRule="auto"/>
        <w:jc w:val="both"/>
        <w:rPr>
          <w:rFonts w:ascii="Calibri" w:hAnsi="Calibri"/>
        </w:rPr>
      </w:pPr>
    </w:p>
    <w:p w14:paraId="5C0657B3" w14:textId="0F1DA801" w:rsidR="00300463" w:rsidRPr="00300463" w:rsidRDefault="00300463" w:rsidP="00300463">
      <w:pPr>
        <w:spacing w:line="360" w:lineRule="auto"/>
        <w:jc w:val="both"/>
        <w:rPr>
          <w:rFonts w:ascii="Calibri" w:hAnsi="Calibri"/>
        </w:rPr>
      </w:pPr>
      <w:r w:rsidRPr="00300463">
        <w:rPr>
          <w:rFonts w:ascii="Calibri" w:hAnsi="Calibri"/>
        </w:rPr>
        <w:t>76. člen ZVZD-1 pa govori tudi o globah, ki so predpisane za delodajalca v višini od 2.000 do 40.000 EUR.</w:t>
      </w:r>
    </w:p>
    <w:p w14:paraId="7A5F4D7C" w14:textId="77777777" w:rsidR="00300463" w:rsidRPr="00300463" w:rsidRDefault="00300463" w:rsidP="00300463">
      <w:pPr>
        <w:pStyle w:val="odstavek"/>
        <w:shd w:val="clear" w:color="auto" w:fill="FFFFFF"/>
        <w:spacing w:before="240" w:beforeAutospacing="0" w:after="0" w:afterAutospacing="0" w:line="360" w:lineRule="auto"/>
        <w:jc w:val="both"/>
        <w:rPr>
          <w:rFonts w:eastAsia="Times New Roman" w:cs="Times New Roman"/>
          <w:sz w:val="24"/>
          <w:szCs w:val="24"/>
        </w:rPr>
      </w:pPr>
      <w:r w:rsidRPr="00300463">
        <w:rPr>
          <w:rFonts w:eastAsia="Times New Roman" w:cs="Times New Roman"/>
          <w:sz w:val="24"/>
          <w:szCs w:val="24"/>
        </w:rPr>
        <w:t>77. člen ZVZD-1 pa govori tudi o globah od 500 do 10.000 evrov za prekršek samozaposlene osebe, ki:</w:t>
      </w:r>
    </w:p>
    <w:p w14:paraId="352C779F" w14:textId="77777777" w:rsidR="00300463" w:rsidRPr="00300463" w:rsidRDefault="00300463" w:rsidP="00300463">
      <w:pPr>
        <w:pStyle w:val="tevilnatoka"/>
        <w:shd w:val="clear" w:color="auto" w:fill="FFFFFF"/>
        <w:spacing w:before="0" w:beforeAutospacing="0" w:after="0" w:afterAutospacing="0" w:line="360" w:lineRule="auto"/>
        <w:ind w:left="425" w:hanging="425"/>
        <w:jc w:val="both"/>
        <w:rPr>
          <w:rFonts w:eastAsia="Times New Roman" w:cs="Times New Roman"/>
          <w:sz w:val="24"/>
          <w:szCs w:val="24"/>
        </w:rPr>
      </w:pPr>
      <w:r w:rsidRPr="00300463">
        <w:rPr>
          <w:rFonts w:eastAsia="Times New Roman" w:cs="Times New Roman"/>
          <w:sz w:val="24"/>
          <w:szCs w:val="24"/>
        </w:rPr>
        <w:t>1.      ne oceni tveganja (prvi odstavek 56. člena);</w:t>
      </w:r>
    </w:p>
    <w:p w14:paraId="05F5E60F" w14:textId="77777777" w:rsidR="00300463" w:rsidRPr="00300463" w:rsidRDefault="00300463" w:rsidP="00300463">
      <w:pPr>
        <w:pStyle w:val="tevilnatoka"/>
        <w:shd w:val="clear" w:color="auto" w:fill="FFFFFF"/>
        <w:spacing w:before="0" w:beforeAutospacing="0" w:after="0" w:afterAutospacing="0" w:line="360" w:lineRule="auto"/>
        <w:ind w:left="425" w:hanging="425"/>
        <w:jc w:val="both"/>
        <w:rPr>
          <w:rFonts w:eastAsia="Times New Roman" w:cs="Times New Roman"/>
          <w:sz w:val="24"/>
          <w:szCs w:val="24"/>
        </w:rPr>
      </w:pPr>
      <w:r w:rsidRPr="00300463">
        <w:rPr>
          <w:rFonts w:eastAsia="Times New Roman" w:cs="Times New Roman"/>
          <w:sz w:val="24"/>
          <w:szCs w:val="24"/>
        </w:rPr>
        <w:t>2.      ne izdela pisne izjave o varnosti z oceno tveganja ter ne določi ukrepov za zagotovitev varnosti in zdravja pri delu, če ugotovi, da obstajajo nevarnosti za nezgode, poklicne bolezni in bolezni, povezane z delom (drugi odstavek 56. člena);</w:t>
      </w:r>
    </w:p>
    <w:p w14:paraId="45877204" w14:textId="77777777" w:rsidR="00300463" w:rsidRPr="00300463" w:rsidRDefault="00300463" w:rsidP="00300463">
      <w:pPr>
        <w:pStyle w:val="tevilnatoka"/>
        <w:shd w:val="clear" w:color="auto" w:fill="FFFFFF"/>
        <w:spacing w:before="0" w:beforeAutospacing="0" w:after="0" w:afterAutospacing="0" w:line="360" w:lineRule="auto"/>
        <w:ind w:left="425" w:hanging="425"/>
        <w:jc w:val="both"/>
        <w:rPr>
          <w:rFonts w:eastAsia="Times New Roman" w:cs="Times New Roman"/>
          <w:sz w:val="24"/>
          <w:szCs w:val="24"/>
        </w:rPr>
      </w:pPr>
      <w:r w:rsidRPr="00300463">
        <w:rPr>
          <w:rFonts w:eastAsia="Times New Roman" w:cs="Times New Roman"/>
          <w:sz w:val="24"/>
          <w:szCs w:val="24"/>
        </w:rPr>
        <w:lastRenderedPageBreak/>
        <w:t>3.      pri svojem delu ne uporablja sredstev za delo in osebne varovalne opreme, ki ustreza tveganjem pri delu ter predpisanim varnostnim in zdravstvenim zahtevam (57. člen);</w:t>
      </w:r>
    </w:p>
    <w:p w14:paraId="782DCF81" w14:textId="77777777" w:rsidR="00300463" w:rsidRPr="00300463" w:rsidRDefault="00300463" w:rsidP="00300463">
      <w:pPr>
        <w:pStyle w:val="tevilnatoka"/>
        <w:shd w:val="clear" w:color="auto" w:fill="FFFFFF"/>
        <w:spacing w:before="0" w:beforeAutospacing="0" w:after="0" w:afterAutospacing="0" w:line="360" w:lineRule="auto"/>
        <w:ind w:left="425" w:hanging="425"/>
        <w:jc w:val="both"/>
        <w:rPr>
          <w:rFonts w:eastAsia="Times New Roman" w:cs="Times New Roman"/>
          <w:sz w:val="24"/>
          <w:szCs w:val="24"/>
        </w:rPr>
      </w:pPr>
      <w:r w:rsidRPr="00300463">
        <w:rPr>
          <w:rFonts w:eastAsia="Times New Roman" w:cs="Times New Roman"/>
          <w:sz w:val="24"/>
          <w:szCs w:val="24"/>
        </w:rPr>
        <w:t>4.      se ne vključi v pisni sporazum ter ne izvaja skupnih ukrepov za zagotavljanje varnosti in zdravja pri delu na deloviščih iz 39. člena tega zakona (58. člen);</w:t>
      </w:r>
    </w:p>
    <w:p w14:paraId="107E6FB8" w14:textId="640D39B3" w:rsidR="004811E9" w:rsidRDefault="00300463" w:rsidP="00300463">
      <w:pPr>
        <w:pStyle w:val="tevilnatoka"/>
        <w:shd w:val="clear" w:color="auto" w:fill="FFFFFF"/>
        <w:spacing w:before="0" w:beforeAutospacing="0" w:after="0" w:afterAutospacing="0" w:line="360" w:lineRule="auto"/>
        <w:ind w:left="425" w:hanging="425"/>
        <w:jc w:val="both"/>
        <w:rPr>
          <w:rFonts w:eastAsia="Times New Roman" w:cs="Times New Roman"/>
          <w:sz w:val="24"/>
          <w:szCs w:val="24"/>
        </w:rPr>
      </w:pPr>
      <w:r w:rsidRPr="00300463">
        <w:rPr>
          <w:rFonts w:eastAsia="Times New Roman" w:cs="Times New Roman"/>
          <w:sz w:val="24"/>
          <w:szCs w:val="24"/>
        </w:rPr>
        <w:t>5.      ne prijavi inšpekciji dela nezgode pri delu, zaradi katere je nezmožen za delo več kot tri delovne dni, ugotovljene poklicne bolezni in nevarnega pojava (59. člen).</w:t>
      </w:r>
    </w:p>
    <w:p w14:paraId="6A6B6A7B" w14:textId="77777777" w:rsidR="004811E9" w:rsidRDefault="004811E9">
      <w:pPr>
        <w:spacing w:after="160" w:line="259" w:lineRule="auto"/>
        <w:rPr>
          <w:rFonts w:ascii="Calibri" w:hAnsi="Calibri"/>
        </w:rPr>
      </w:pPr>
      <w:r>
        <w:br w:type="page"/>
      </w:r>
    </w:p>
    <w:p w14:paraId="092B7AA8" w14:textId="77777777" w:rsidR="00300463" w:rsidRPr="00300463" w:rsidRDefault="00300463" w:rsidP="00300463">
      <w:pPr>
        <w:pStyle w:val="tevilnatoka"/>
        <w:shd w:val="clear" w:color="auto" w:fill="FFFFFF"/>
        <w:spacing w:before="0" w:beforeAutospacing="0" w:after="0" w:afterAutospacing="0" w:line="360" w:lineRule="auto"/>
        <w:ind w:left="425" w:hanging="425"/>
        <w:jc w:val="both"/>
        <w:rPr>
          <w:rFonts w:eastAsia="Times New Roman" w:cs="Times New Roman"/>
          <w:sz w:val="24"/>
          <w:szCs w:val="24"/>
        </w:rPr>
      </w:pPr>
    </w:p>
    <w:p w14:paraId="0298DAD4" w14:textId="77777777" w:rsidR="00300463" w:rsidRPr="00300463" w:rsidRDefault="00300463" w:rsidP="00300463">
      <w:pPr>
        <w:spacing w:line="360" w:lineRule="auto"/>
        <w:jc w:val="both"/>
        <w:rPr>
          <w:rFonts w:ascii="Calibri" w:hAnsi="Calibri"/>
        </w:rPr>
      </w:pPr>
    </w:p>
    <w:p w14:paraId="611F889D" w14:textId="77777777" w:rsidR="00300463" w:rsidRPr="00300463" w:rsidRDefault="00300463" w:rsidP="00300463">
      <w:pPr>
        <w:spacing w:line="360" w:lineRule="auto"/>
        <w:jc w:val="both"/>
        <w:rPr>
          <w:rFonts w:ascii="Calibri" w:hAnsi="Calibri"/>
        </w:rPr>
      </w:pPr>
    </w:p>
    <w:p w14:paraId="465CF188" w14:textId="77777777" w:rsidR="00914123" w:rsidRPr="00300463" w:rsidRDefault="00000000" w:rsidP="00300463">
      <w:pPr>
        <w:spacing w:line="360" w:lineRule="auto"/>
        <w:jc w:val="both"/>
        <w:rPr>
          <w:rFonts w:ascii="Calibri" w:hAnsi="Calibri"/>
        </w:rPr>
      </w:pPr>
    </w:p>
    <w:sectPr w:rsidR="00914123" w:rsidRPr="003004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106E7"/>
    <w:multiLevelType w:val="hybridMultilevel"/>
    <w:tmpl w:val="075A4F7A"/>
    <w:lvl w:ilvl="0" w:tplc="5916F30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24F055BD"/>
    <w:multiLevelType w:val="hybridMultilevel"/>
    <w:tmpl w:val="FB06A3D2"/>
    <w:lvl w:ilvl="0" w:tplc="2DC2D14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56A562F"/>
    <w:multiLevelType w:val="hybridMultilevel"/>
    <w:tmpl w:val="B9FEE024"/>
    <w:lvl w:ilvl="0" w:tplc="B39E3A08">
      <w:start w:val="3"/>
      <w:numFmt w:val="bullet"/>
      <w:lvlText w:val="-"/>
      <w:lvlJc w:val="left"/>
      <w:pPr>
        <w:ind w:left="870" w:hanging="51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31A6FF5"/>
    <w:multiLevelType w:val="hybridMultilevel"/>
    <w:tmpl w:val="382E8490"/>
    <w:lvl w:ilvl="0" w:tplc="DD745D50">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num w:numId="1" w16cid:durableId="776027495">
    <w:abstractNumId w:val="0"/>
  </w:num>
  <w:num w:numId="2" w16cid:durableId="1780055434">
    <w:abstractNumId w:val="3"/>
  </w:num>
  <w:num w:numId="3" w16cid:durableId="1679499019">
    <w:abstractNumId w:val="1"/>
  </w:num>
  <w:num w:numId="4" w16cid:durableId="12124984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63"/>
    <w:rsid w:val="00300463"/>
    <w:rsid w:val="004811E9"/>
    <w:rsid w:val="00712246"/>
    <w:rsid w:val="00A70909"/>
    <w:rsid w:val="00DB61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5E775"/>
  <w15:chartTrackingRefBased/>
  <w15:docId w15:val="{471958A9-15EC-451A-A283-03B50B66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00463"/>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300463"/>
    <w:rPr>
      <w:color w:val="0000FF"/>
      <w:u w:val="single"/>
    </w:rPr>
  </w:style>
  <w:style w:type="paragraph" w:styleId="Odstavekseznama">
    <w:name w:val="List Paragraph"/>
    <w:basedOn w:val="Navaden"/>
    <w:uiPriority w:val="34"/>
    <w:qFormat/>
    <w:rsid w:val="00300463"/>
    <w:pPr>
      <w:ind w:left="720"/>
      <w:contextualSpacing/>
    </w:pPr>
  </w:style>
  <w:style w:type="paragraph" w:customStyle="1" w:styleId="odstavek">
    <w:name w:val="odstavek"/>
    <w:basedOn w:val="Navaden"/>
    <w:rsid w:val="00300463"/>
    <w:pPr>
      <w:spacing w:before="100" w:beforeAutospacing="1" w:after="100" w:afterAutospacing="1"/>
    </w:pPr>
    <w:rPr>
      <w:rFonts w:ascii="Calibri" w:eastAsiaTheme="minorHAnsi" w:hAnsi="Calibri" w:cs="Calibri"/>
      <w:sz w:val="22"/>
      <w:szCs w:val="22"/>
    </w:rPr>
  </w:style>
  <w:style w:type="paragraph" w:customStyle="1" w:styleId="alineazaodstavkom">
    <w:name w:val="alineazaodstavkom"/>
    <w:basedOn w:val="Navaden"/>
    <w:rsid w:val="00300463"/>
    <w:pPr>
      <w:spacing w:before="100" w:beforeAutospacing="1" w:after="100" w:afterAutospacing="1"/>
    </w:pPr>
    <w:rPr>
      <w:rFonts w:ascii="Calibri" w:eastAsiaTheme="minorHAnsi" w:hAnsi="Calibri" w:cs="Calibri"/>
      <w:sz w:val="22"/>
      <w:szCs w:val="22"/>
    </w:rPr>
  </w:style>
  <w:style w:type="paragraph" w:customStyle="1" w:styleId="tevilnatoka">
    <w:name w:val="tevilnatoka"/>
    <w:basedOn w:val="Navaden"/>
    <w:rsid w:val="00300463"/>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8370">
      <w:bodyDiv w:val="1"/>
      <w:marLeft w:val="0"/>
      <w:marRight w:val="0"/>
      <w:marTop w:val="0"/>
      <w:marBottom w:val="0"/>
      <w:divBdr>
        <w:top w:val="none" w:sz="0" w:space="0" w:color="auto"/>
        <w:left w:val="none" w:sz="0" w:space="0" w:color="auto"/>
        <w:bottom w:val="none" w:sz="0" w:space="0" w:color="auto"/>
        <w:right w:val="none" w:sz="0" w:space="0" w:color="auto"/>
      </w:divBdr>
    </w:div>
    <w:div w:id="159019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oz.grosuplje@ozs.si" TargetMode="External"/><Relationship Id="rId5" Type="http://schemas.openxmlformats.org/officeDocument/2006/relationships/hyperlink" Target="mailto:ooz.grosuplje@ozs.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835</Words>
  <Characters>4762</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OOZ GROSUPLJE</dc:creator>
  <cp:keywords/>
  <dc:description/>
  <cp:lastModifiedBy>OOZ GROSUPLJE</cp:lastModifiedBy>
  <cp:revision>2</cp:revision>
  <dcterms:created xsi:type="dcterms:W3CDTF">2022-08-23T08:16:00Z</dcterms:created>
  <dcterms:modified xsi:type="dcterms:W3CDTF">2022-08-23T11:34:00Z</dcterms:modified>
</cp:coreProperties>
</file>